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Date:11/18/2025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analyzing the logged traces and identified two areas where latency spikes consistently occur.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targeted instrumentation around those sections to confirm whether they are the true root cause.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Spikes still appear intermittently, making it hard to reproduce them on command.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Tested several alternative animation curves and noticed smoother transitions at moderate refresh rates.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Combine the best-performing animation curves with the alert timing logic for unified testing.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At higher refresh frequencies, some transitions still fail to keep up with rapid metric changes.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Began tuning clustering logic and confirmed slight improvements in maintaining order alignment under bursts.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Run extended burst tests to ensure the updated clustering approach holds up across longer cycles.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Longer bursts increase processing load, which occasionally causes minor misalignment to return.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